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0FB5" w14:textId="77777777" w:rsidR="00CD1743" w:rsidRDefault="00CD1743" w:rsidP="00CD1743">
      <w:pPr>
        <w:tabs>
          <w:tab w:val="left" w:pos="-720"/>
        </w:tabs>
        <w:suppressAutoHyphens/>
        <w:jc w:val="right"/>
        <w:rPr>
          <w:rFonts w:ascii="Verdana" w:hAnsi="Verdana"/>
          <w:b/>
          <w:spacing w:val="-3"/>
        </w:rPr>
      </w:pPr>
      <w:r>
        <w:rPr>
          <w:rFonts w:ascii="Verdana" w:hAnsi="Verdana"/>
          <w:b/>
          <w:spacing w:val="-3"/>
        </w:rPr>
        <w:t>ATTACHMENT B</w:t>
      </w:r>
    </w:p>
    <w:p w14:paraId="77B68167" w14:textId="77777777" w:rsidR="00CD1743" w:rsidRDefault="00CD1743" w:rsidP="00CD1743">
      <w:pPr>
        <w:pStyle w:val="Heading1"/>
        <w:jc w:val="center"/>
      </w:pPr>
      <w:bookmarkStart w:id="0" w:name="AttachmentB"/>
      <w:r>
        <w:t>XYZ INSTITUTION</w:t>
      </w:r>
    </w:p>
    <w:bookmarkEnd w:id="0"/>
    <w:p w14:paraId="2F8F56E3" w14:textId="77777777" w:rsidR="00CD1743" w:rsidRPr="00D35F8A" w:rsidRDefault="00CD1743" w:rsidP="00CD1743">
      <w:pPr>
        <w:tabs>
          <w:tab w:val="left" w:pos="-720"/>
        </w:tabs>
        <w:suppressAutoHyphens/>
        <w:jc w:val="center"/>
        <w:rPr>
          <w:spacing w:val="-3"/>
        </w:rPr>
      </w:pPr>
    </w:p>
    <w:p w14:paraId="29050FB8" w14:textId="77777777" w:rsidR="00CD1743" w:rsidRPr="00D35F8A" w:rsidRDefault="00CD1743" w:rsidP="00CD1743">
      <w:pPr>
        <w:tabs>
          <w:tab w:val="left" w:pos="-720"/>
        </w:tabs>
        <w:suppressAutoHyphens/>
        <w:jc w:val="center"/>
        <w:rPr>
          <w:spacing w:val="-3"/>
        </w:rPr>
      </w:pPr>
      <w:r w:rsidRPr="00D35F8A">
        <w:rPr>
          <w:spacing w:val="-3"/>
        </w:rPr>
        <w:t>Notes to the Financial Statements</w:t>
      </w:r>
    </w:p>
    <w:p w14:paraId="4238C3BC" w14:textId="77777777" w:rsidR="00CD1743" w:rsidRPr="00D35F8A" w:rsidRDefault="00CD1743" w:rsidP="00CD1743">
      <w:pPr>
        <w:tabs>
          <w:tab w:val="left" w:pos="-720"/>
        </w:tabs>
        <w:suppressAutoHyphens/>
        <w:rPr>
          <w:spacing w:val="-3"/>
        </w:rPr>
      </w:pPr>
    </w:p>
    <w:p w14:paraId="16B9DE7D" w14:textId="77777777" w:rsidR="00CD1743" w:rsidRPr="00D35F8A" w:rsidRDefault="00CD1743" w:rsidP="00CD1743">
      <w:pPr>
        <w:tabs>
          <w:tab w:val="left" w:pos="-720"/>
        </w:tabs>
        <w:suppressAutoHyphens/>
        <w:rPr>
          <w:b/>
          <w:spacing w:val="-3"/>
        </w:rPr>
      </w:pPr>
      <w:r w:rsidRPr="00D35F8A">
        <w:rPr>
          <w:b/>
          <w:spacing w:val="-3"/>
        </w:rPr>
        <w:t>(XX) Management Accounting and Reporting System</w:t>
      </w:r>
    </w:p>
    <w:p w14:paraId="7399170E" w14:textId="77777777" w:rsidR="00CD1743" w:rsidRDefault="00CD1743" w:rsidP="00CD1743">
      <w:pPr>
        <w:tabs>
          <w:tab w:val="left" w:pos="-720"/>
        </w:tabs>
        <w:suppressAutoHyphens/>
        <w:rPr>
          <w:rFonts w:ascii="Verdana" w:hAnsi="Verdana"/>
          <w:spacing w:val="-3"/>
        </w:rPr>
      </w:pPr>
    </w:p>
    <w:p w14:paraId="53167663" w14:textId="77777777" w:rsidR="00CD1743" w:rsidRPr="00115157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  <w:r w:rsidRPr="00D35F8A">
        <w:rPr>
          <w:rFonts w:ascii="Times New Roman" w:hAnsi="Times New Roman"/>
          <w:spacing w:val="-3"/>
          <w:sz w:val="24"/>
        </w:rPr>
        <w:t xml:space="preserve">Section 15C of Chapter 15A of the Massachusetts General Laws requires Commonwealth Colleges and Universities to report activity of </w:t>
      </w:r>
      <w:proofErr w:type="gramStart"/>
      <w:r w:rsidRPr="00D35F8A">
        <w:rPr>
          <w:rFonts w:ascii="Times New Roman" w:hAnsi="Times New Roman"/>
          <w:spacing w:val="-3"/>
          <w:sz w:val="24"/>
        </w:rPr>
        <w:t>campus based</w:t>
      </w:r>
      <w:proofErr w:type="gramEnd"/>
      <w:r w:rsidRPr="00D35F8A">
        <w:rPr>
          <w:rFonts w:ascii="Times New Roman" w:hAnsi="Times New Roman"/>
          <w:spacing w:val="-3"/>
          <w:sz w:val="24"/>
        </w:rPr>
        <w:t xml:space="preserve"> funds to the Comptroller of the Commonwealth on the Commonwealth’s Statewide Accounting System (Massachusetts Management Accounting and Reporting System - MMARS).  The statutory basis of accounting is modified accrual and differs from the information included in these financial statements.  The amounts reported on MMARS meet the guidelines of the Comptroller’s </w:t>
      </w:r>
      <w:r>
        <w:rPr>
          <w:rFonts w:ascii="Times New Roman" w:hAnsi="Times New Roman"/>
          <w:spacing w:val="-3"/>
          <w:sz w:val="24"/>
        </w:rPr>
        <w:t xml:space="preserve">Office </w:t>
      </w:r>
      <w:r w:rsidRPr="00D35F8A">
        <w:rPr>
          <w:rFonts w:ascii="Times New Roman" w:hAnsi="Times New Roman"/>
          <w:spacing w:val="-3"/>
          <w:sz w:val="24"/>
        </w:rPr>
        <w:t>for Higher Education Audited Financial Statements.</w:t>
      </w:r>
    </w:p>
    <w:p w14:paraId="1FC88903" w14:textId="77777777" w:rsidR="00CD1743" w:rsidRPr="00DC3861" w:rsidRDefault="00CD1743" w:rsidP="00CD1743">
      <w:pPr>
        <w:pStyle w:val="ProcedureText"/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  <w:u w:val="single"/>
        </w:rPr>
      </w:pPr>
    </w:p>
    <w:p w14:paraId="6B3CF1C8" w14:textId="77777777" w:rsidR="00CD1743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</w:p>
    <w:p w14:paraId="1C14809E" w14:textId="77777777" w:rsidR="00CD1743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</w:rPr>
      </w:pPr>
      <w:r w:rsidRPr="00D35F8A">
        <w:rPr>
          <w:rFonts w:ascii="Times New Roman" w:hAnsi="Times New Roman"/>
          <w:b/>
          <w:spacing w:val="-3"/>
          <w:sz w:val="24"/>
        </w:rPr>
        <w:t xml:space="preserve">A reconciliation schedule between the Institution’s records and MMARS should be presented.  </w:t>
      </w:r>
    </w:p>
    <w:p w14:paraId="5996E3B8" w14:textId="77777777" w:rsidR="00CD1743" w:rsidRPr="00D35F8A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b/>
          <w:spacing w:val="-3"/>
          <w:sz w:val="24"/>
        </w:rPr>
      </w:pPr>
      <w:r w:rsidRPr="00D35F8A">
        <w:rPr>
          <w:rFonts w:ascii="Times New Roman" w:hAnsi="Times New Roman"/>
          <w:b/>
          <w:spacing w:val="-3"/>
          <w:sz w:val="24"/>
        </w:rPr>
        <w:t>This should also include a reconciliation of the state appropriation.  Tables should be as follows:</w:t>
      </w:r>
    </w:p>
    <w:p w14:paraId="0CAAFE23" w14:textId="77777777" w:rsidR="00CD1743" w:rsidRPr="00D35F8A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</w:p>
    <w:p w14:paraId="16E43499" w14:textId="77777777" w:rsidR="00CD1743" w:rsidRPr="00D35F8A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  <w:r w:rsidRPr="00D35F8A">
        <w:rPr>
          <w:rFonts w:ascii="Times New Roman" w:hAnsi="Times New Roman"/>
          <w:spacing w:val="-3"/>
          <w:sz w:val="24"/>
        </w:rPr>
        <w:t>The College’s State appropriations are composed of the following for the year(s) ended June 30:</w:t>
      </w:r>
    </w:p>
    <w:p w14:paraId="4BC287AE" w14:textId="77777777" w:rsidR="00CD1743" w:rsidRPr="00D35F8A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30"/>
        <w:gridCol w:w="1440"/>
      </w:tblGrid>
      <w:tr w:rsidR="00CD1743" w:rsidRPr="00D35F8A" w14:paraId="1BB983FE" w14:textId="77777777" w:rsidTr="00A45A42">
        <w:trPr>
          <w:jc w:val="center"/>
        </w:trPr>
        <w:tc>
          <w:tcPr>
            <w:tcW w:w="6930" w:type="dxa"/>
          </w:tcPr>
          <w:p w14:paraId="00DBFD99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w="1440" w:type="dxa"/>
          </w:tcPr>
          <w:p w14:paraId="129C92D4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pacing w:val="-3"/>
                <w:sz w:val="24"/>
                <w:u w:val="single"/>
              </w:rPr>
            </w:pPr>
            <w:r w:rsidRPr="00D35F8A">
              <w:rPr>
                <w:rFonts w:ascii="Times New Roman" w:hAnsi="Times New Roman"/>
                <w:spacing w:val="-3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spacing w:val="-3"/>
                <w:sz w:val="24"/>
                <w:u w:val="single"/>
              </w:rPr>
              <w:t>024</w:t>
            </w:r>
          </w:p>
        </w:tc>
      </w:tr>
      <w:tr w:rsidR="00CD1743" w:rsidRPr="00D35F8A" w14:paraId="25C7FA5F" w14:textId="77777777" w:rsidTr="00A45A42">
        <w:trPr>
          <w:jc w:val="center"/>
        </w:trPr>
        <w:tc>
          <w:tcPr>
            <w:tcW w:w="6930" w:type="dxa"/>
          </w:tcPr>
          <w:p w14:paraId="3709765C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Direct unrestricted appropriations</w:t>
            </w:r>
            <w:r>
              <w:rPr>
                <w:rFonts w:ascii="Times New Roman" w:hAnsi="Times New Roman"/>
                <w:spacing w:val="-3"/>
                <w:sz w:val="24"/>
              </w:rPr>
              <w:t>:</w:t>
            </w:r>
          </w:p>
        </w:tc>
        <w:tc>
          <w:tcPr>
            <w:tcW w:w="1440" w:type="dxa"/>
          </w:tcPr>
          <w:p w14:paraId="010E89C5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$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x,xxx</w:t>
            </w:r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>.xx</w:t>
            </w:r>
            <w:proofErr w:type="spellEnd"/>
          </w:p>
        </w:tc>
      </w:tr>
      <w:tr w:rsidR="00CD1743" w:rsidRPr="00D35F8A" w14:paraId="18BCAC08" w14:textId="77777777" w:rsidTr="00A45A42">
        <w:trPr>
          <w:jc w:val="center"/>
        </w:trPr>
        <w:tc>
          <w:tcPr>
            <w:tcW w:w="6930" w:type="dxa"/>
          </w:tcPr>
          <w:p w14:paraId="03DCE403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ind w:left="345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Add</w:t>
            </w:r>
            <w:r>
              <w:rPr>
                <w:rFonts w:ascii="Times New Roman" w:hAnsi="Times New Roman"/>
                <w:spacing w:val="-3"/>
                <w:sz w:val="24"/>
              </w:rPr>
              <w:t>:</w:t>
            </w:r>
            <w:r w:rsidRPr="00D35F8A">
              <w:rPr>
                <w:rFonts w:ascii="Times New Roman" w:hAnsi="Times New Roman"/>
                <w:spacing w:val="-3"/>
                <w:sz w:val="24"/>
              </w:rPr>
              <w:t xml:space="preserve"> fringe benefits for benefited employees on the state payroll</w:t>
            </w:r>
          </w:p>
        </w:tc>
        <w:tc>
          <w:tcPr>
            <w:tcW w:w="1440" w:type="dxa"/>
          </w:tcPr>
          <w:p w14:paraId="4C23E95E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x,xxx</w:t>
            </w:r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>.xx</w:t>
            </w:r>
            <w:proofErr w:type="spellEnd"/>
          </w:p>
        </w:tc>
      </w:tr>
      <w:tr w:rsidR="00CD1743" w:rsidRPr="00D35F8A" w14:paraId="3C1657D7" w14:textId="77777777" w:rsidTr="00A45A42">
        <w:trPr>
          <w:jc w:val="center"/>
        </w:trPr>
        <w:tc>
          <w:tcPr>
            <w:tcW w:w="6930" w:type="dxa"/>
          </w:tcPr>
          <w:p w14:paraId="192067DB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ind w:left="345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Less</w:t>
            </w:r>
            <w:r>
              <w:rPr>
                <w:rFonts w:ascii="Times New Roman" w:hAnsi="Times New Roman"/>
                <w:spacing w:val="-3"/>
                <w:sz w:val="24"/>
              </w:rPr>
              <w:t>:</w:t>
            </w:r>
            <w:r w:rsidRPr="00D35F8A">
              <w:rPr>
                <w:rFonts w:ascii="Times New Roman" w:hAnsi="Times New Roman"/>
                <w:spacing w:val="-3"/>
                <w:sz w:val="24"/>
              </w:rPr>
              <w:t xml:space="preserve"> day school tuition remitted to the state and included in tuition and fee revenue</w:t>
            </w:r>
          </w:p>
        </w:tc>
        <w:tc>
          <w:tcPr>
            <w:tcW w:w="1440" w:type="dxa"/>
          </w:tcPr>
          <w:p w14:paraId="0B3CF1D6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  <w:u w:val="single"/>
              </w:rPr>
            </w:pPr>
            <w:r w:rsidRPr="00D35F8A">
              <w:rPr>
                <w:rFonts w:ascii="Times New Roman" w:hAnsi="Times New Roman"/>
                <w:spacing w:val="-3"/>
                <w:sz w:val="24"/>
                <w:u w:val="single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  <w:u w:val="single"/>
              </w:rPr>
              <w:t>x</w:t>
            </w:r>
            <w:r w:rsidRPr="00D35F8A">
              <w:rPr>
                <w:rFonts w:ascii="Times New Roman" w:hAnsi="Times New Roman"/>
                <w:spacing w:val="-3"/>
                <w:sz w:val="24"/>
                <w:u w:val="single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u w:val="single"/>
              </w:rPr>
              <w:t>xxx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u w:val="single"/>
              </w:rPr>
              <w:t>.xx</w:t>
            </w:r>
            <w:proofErr w:type="spellEnd"/>
            <w:r w:rsidRPr="00D35F8A">
              <w:rPr>
                <w:rFonts w:ascii="Times New Roman" w:hAnsi="Times New Roman"/>
                <w:spacing w:val="-3"/>
                <w:sz w:val="24"/>
                <w:u w:val="single"/>
              </w:rPr>
              <w:t>)</w:t>
            </w:r>
          </w:p>
        </w:tc>
      </w:tr>
      <w:tr w:rsidR="00CD1743" w:rsidRPr="00D35F8A" w14:paraId="4E5C15E7" w14:textId="77777777" w:rsidTr="00A45A42">
        <w:trPr>
          <w:jc w:val="center"/>
        </w:trPr>
        <w:tc>
          <w:tcPr>
            <w:tcW w:w="6930" w:type="dxa"/>
          </w:tcPr>
          <w:p w14:paraId="40349651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ind w:left="345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Total unrestricted appropriations</w:t>
            </w:r>
          </w:p>
        </w:tc>
        <w:tc>
          <w:tcPr>
            <w:tcW w:w="1440" w:type="dxa"/>
          </w:tcPr>
          <w:p w14:paraId="3C7778A5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  <w:u w:val="single"/>
              </w:rPr>
              <w:t>x,xxx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u w:val="single"/>
              </w:rPr>
              <w:t>.xx</w:t>
            </w:r>
            <w:proofErr w:type="spellEnd"/>
          </w:p>
        </w:tc>
      </w:tr>
      <w:tr w:rsidR="00CD1743" w:rsidRPr="00D35F8A" w14:paraId="12FADB4D" w14:textId="77777777" w:rsidTr="00A45A42">
        <w:trPr>
          <w:jc w:val="center"/>
        </w:trPr>
        <w:tc>
          <w:tcPr>
            <w:tcW w:w="6930" w:type="dxa"/>
          </w:tcPr>
          <w:p w14:paraId="3DC10F17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ind w:left="345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w="1440" w:type="dxa"/>
          </w:tcPr>
          <w:p w14:paraId="326CCCD5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  <w:u w:val="single"/>
              </w:rPr>
            </w:pPr>
          </w:p>
        </w:tc>
      </w:tr>
      <w:tr w:rsidR="00CD1743" w:rsidRPr="00D35F8A" w14:paraId="71A2A1AC" w14:textId="77777777" w:rsidTr="00A45A42">
        <w:trPr>
          <w:jc w:val="center"/>
        </w:trPr>
        <w:tc>
          <w:tcPr>
            <w:tcW w:w="6930" w:type="dxa"/>
          </w:tcPr>
          <w:p w14:paraId="3CBBDD3C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ind w:left="-15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Restricted appropriations:</w:t>
            </w:r>
          </w:p>
        </w:tc>
        <w:tc>
          <w:tcPr>
            <w:tcW w:w="1440" w:type="dxa"/>
          </w:tcPr>
          <w:p w14:paraId="0E230C7C" w14:textId="77777777" w:rsidR="00CD1743" w:rsidRPr="00A45A42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</w:rPr>
            </w:pPr>
            <w:proofErr w:type="spellStart"/>
            <w:proofErr w:type="gramStart"/>
            <w:r w:rsidRPr="00A45A42">
              <w:rPr>
                <w:rFonts w:ascii="Times New Roman" w:hAnsi="Times New Roman"/>
                <w:spacing w:val="-3"/>
                <w:sz w:val="24"/>
              </w:rPr>
              <w:t>x,xxx</w:t>
            </w:r>
            <w:proofErr w:type="gramEnd"/>
            <w:r w:rsidRPr="00A45A42">
              <w:rPr>
                <w:rFonts w:ascii="Times New Roman" w:hAnsi="Times New Roman"/>
                <w:spacing w:val="-3"/>
                <w:sz w:val="24"/>
              </w:rPr>
              <w:t>.xx</w:t>
            </w:r>
            <w:proofErr w:type="spellEnd"/>
          </w:p>
        </w:tc>
      </w:tr>
      <w:tr w:rsidR="00CD1743" w:rsidRPr="00D35F8A" w14:paraId="04013A84" w14:textId="77777777" w:rsidTr="00A45A42">
        <w:trPr>
          <w:jc w:val="center"/>
        </w:trPr>
        <w:tc>
          <w:tcPr>
            <w:tcW w:w="6930" w:type="dxa"/>
          </w:tcPr>
          <w:p w14:paraId="07213F45" w14:textId="77777777" w:rsidR="00CD1743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ind w:left="-15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w="1440" w:type="dxa"/>
          </w:tcPr>
          <w:p w14:paraId="2184F03E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  <w:u w:val="single"/>
              </w:rPr>
            </w:pPr>
          </w:p>
        </w:tc>
      </w:tr>
      <w:tr w:rsidR="00CD1743" w:rsidRPr="00D35F8A" w14:paraId="66EB7376" w14:textId="77777777" w:rsidTr="00A45A42">
        <w:trPr>
          <w:jc w:val="center"/>
        </w:trPr>
        <w:tc>
          <w:tcPr>
            <w:tcW w:w="6930" w:type="dxa"/>
          </w:tcPr>
          <w:p w14:paraId="3E2E9213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ind w:left="-15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Capital appropriations:</w:t>
            </w:r>
          </w:p>
        </w:tc>
        <w:tc>
          <w:tcPr>
            <w:tcW w:w="1440" w:type="dxa"/>
          </w:tcPr>
          <w:p w14:paraId="1BA6BE9E" w14:textId="77777777" w:rsidR="00CD1743" w:rsidRPr="00712BA6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  <w:u w:val="single"/>
              </w:rPr>
            </w:pPr>
            <w:proofErr w:type="spellStart"/>
            <w:proofErr w:type="gramStart"/>
            <w:r w:rsidRPr="00712BA6">
              <w:rPr>
                <w:rFonts w:ascii="Times New Roman" w:hAnsi="Times New Roman"/>
                <w:spacing w:val="-3"/>
                <w:sz w:val="24"/>
                <w:u w:val="single"/>
              </w:rPr>
              <w:t>x,xxx</w:t>
            </w:r>
            <w:proofErr w:type="gramEnd"/>
            <w:r w:rsidRPr="00712BA6">
              <w:rPr>
                <w:rFonts w:ascii="Times New Roman" w:hAnsi="Times New Roman"/>
                <w:spacing w:val="-3"/>
                <w:sz w:val="24"/>
                <w:u w:val="single"/>
              </w:rPr>
              <w:t>.xx</w:t>
            </w:r>
            <w:proofErr w:type="spellEnd"/>
          </w:p>
        </w:tc>
      </w:tr>
      <w:tr w:rsidR="00CD1743" w:rsidRPr="00D35F8A" w14:paraId="35D9E01E" w14:textId="77777777" w:rsidTr="00A45A42">
        <w:trPr>
          <w:jc w:val="center"/>
        </w:trPr>
        <w:tc>
          <w:tcPr>
            <w:tcW w:w="6930" w:type="dxa"/>
          </w:tcPr>
          <w:p w14:paraId="71B95B51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ind w:left="345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w="1440" w:type="dxa"/>
          </w:tcPr>
          <w:p w14:paraId="6EF13061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  <w:u w:val="single"/>
              </w:rPr>
            </w:pPr>
          </w:p>
        </w:tc>
      </w:tr>
      <w:tr w:rsidR="00CD1743" w:rsidRPr="00D35F8A" w14:paraId="25F6E82B" w14:textId="77777777" w:rsidTr="00A45A42">
        <w:trPr>
          <w:jc w:val="center"/>
        </w:trPr>
        <w:tc>
          <w:tcPr>
            <w:tcW w:w="6930" w:type="dxa"/>
          </w:tcPr>
          <w:p w14:paraId="0277A184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 xml:space="preserve">     Total appropriations</w:t>
            </w:r>
          </w:p>
        </w:tc>
        <w:tc>
          <w:tcPr>
            <w:tcW w:w="1440" w:type="dxa"/>
          </w:tcPr>
          <w:p w14:paraId="427BE46C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$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  <w:u w:val="double"/>
              </w:rPr>
              <w:t>x,xxx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u w:val="double"/>
              </w:rPr>
              <w:t>.xx</w:t>
            </w:r>
            <w:proofErr w:type="spellEnd"/>
          </w:p>
        </w:tc>
      </w:tr>
    </w:tbl>
    <w:p w14:paraId="0C357771" w14:textId="77777777" w:rsidR="00CD1743" w:rsidRPr="00D35F8A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</w:p>
    <w:p w14:paraId="7A33D7E7" w14:textId="77777777" w:rsidR="00CD1743" w:rsidRPr="00D35F8A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  <w:r w:rsidRPr="00D35F8A">
        <w:rPr>
          <w:rFonts w:ascii="Times New Roman" w:hAnsi="Times New Roman"/>
          <w:spacing w:val="-3"/>
          <w:sz w:val="24"/>
        </w:rPr>
        <w:t xml:space="preserve">A timing difference </w:t>
      </w:r>
      <w:r w:rsidRPr="00D35F8A">
        <w:rPr>
          <w:rFonts w:ascii="Times New Roman" w:hAnsi="Times New Roman"/>
          <w:b/>
          <w:bCs/>
          <w:spacing w:val="-3"/>
          <w:sz w:val="24"/>
        </w:rPr>
        <w:t>(insert reason other than “timing difference” if applicable)</w:t>
      </w:r>
      <w:r w:rsidRPr="00D35F8A">
        <w:rPr>
          <w:rFonts w:ascii="Times New Roman" w:hAnsi="Times New Roman"/>
          <w:spacing w:val="-3"/>
          <w:sz w:val="24"/>
        </w:rPr>
        <w:t xml:space="preserve"> occurred where the College had additional revenue in the amount of $675 that was reported to MMARS after August 31, 2</w:t>
      </w:r>
      <w:r>
        <w:rPr>
          <w:rFonts w:ascii="Times New Roman" w:hAnsi="Times New Roman"/>
          <w:spacing w:val="-3"/>
          <w:sz w:val="24"/>
        </w:rPr>
        <w:t>024</w:t>
      </w:r>
      <w:r w:rsidRPr="00D35F8A">
        <w:rPr>
          <w:rFonts w:ascii="Times New Roman" w:hAnsi="Times New Roman"/>
          <w:spacing w:val="-3"/>
          <w:sz w:val="24"/>
        </w:rPr>
        <w:t>, reconciled as follows:</w:t>
      </w:r>
    </w:p>
    <w:p w14:paraId="31EEBF6A" w14:textId="77777777" w:rsidR="00CD1743" w:rsidRPr="00D35F8A" w:rsidRDefault="00CD1743" w:rsidP="00CD1743">
      <w:pPr>
        <w:pStyle w:val="ProcedureText"/>
        <w:tabs>
          <w:tab w:val="left" w:pos="-720"/>
        </w:tabs>
        <w:suppressAutoHyphens/>
        <w:spacing w:line="240" w:lineRule="auto"/>
        <w:rPr>
          <w:rFonts w:ascii="Times New Roman" w:hAnsi="Times New Roman"/>
          <w:spacing w:val="-3"/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580"/>
        <w:gridCol w:w="1438"/>
      </w:tblGrid>
      <w:tr w:rsidR="00CD1743" w:rsidRPr="00D35F8A" w14:paraId="5C54CC21" w14:textId="77777777" w:rsidTr="00A45A42">
        <w:trPr>
          <w:jc w:val="center"/>
        </w:trPr>
        <w:tc>
          <w:tcPr>
            <w:tcW w:w="5580" w:type="dxa"/>
          </w:tcPr>
          <w:p w14:paraId="2F322125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w="1438" w:type="dxa"/>
          </w:tcPr>
          <w:p w14:paraId="312E67E7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  <w:u w:val="single"/>
              </w:rPr>
            </w:pPr>
            <w:r>
              <w:rPr>
                <w:rFonts w:ascii="Times New Roman" w:hAnsi="Times New Roman"/>
                <w:spacing w:val="-3"/>
                <w:sz w:val="24"/>
                <w:u w:val="single"/>
              </w:rPr>
              <w:t>2024</w:t>
            </w:r>
          </w:p>
        </w:tc>
      </w:tr>
      <w:tr w:rsidR="00CD1743" w:rsidRPr="00D35F8A" w14:paraId="0EDC9C28" w14:textId="77777777" w:rsidTr="00A45A42">
        <w:trPr>
          <w:jc w:val="center"/>
        </w:trPr>
        <w:tc>
          <w:tcPr>
            <w:tcW w:w="5580" w:type="dxa"/>
          </w:tcPr>
          <w:p w14:paraId="3C27E535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Revenue per MMARS</w:t>
            </w:r>
          </w:p>
        </w:tc>
        <w:tc>
          <w:tcPr>
            <w:tcW w:w="1438" w:type="dxa"/>
          </w:tcPr>
          <w:p w14:paraId="6190E636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$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x,xxx</w:t>
            </w:r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>.xx</w:t>
            </w:r>
            <w:proofErr w:type="spellEnd"/>
          </w:p>
        </w:tc>
      </w:tr>
      <w:tr w:rsidR="00CD1743" w:rsidRPr="00D35F8A" w14:paraId="5CAA1E8B" w14:textId="77777777" w:rsidTr="00A45A42">
        <w:trPr>
          <w:jc w:val="center"/>
        </w:trPr>
        <w:tc>
          <w:tcPr>
            <w:tcW w:w="5580" w:type="dxa"/>
          </w:tcPr>
          <w:p w14:paraId="405F6BA5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Revenue per College</w:t>
            </w:r>
          </w:p>
        </w:tc>
        <w:tc>
          <w:tcPr>
            <w:tcW w:w="1438" w:type="dxa"/>
          </w:tcPr>
          <w:p w14:paraId="27B16CDD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x,xxx</w:t>
            </w:r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>.xx</w:t>
            </w:r>
            <w:proofErr w:type="spellEnd"/>
          </w:p>
        </w:tc>
      </w:tr>
      <w:tr w:rsidR="00CD1743" w:rsidRPr="00D35F8A" w14:paraId="5EBF05D4" w14:textId="77777777" w:rsidTr="00A45A42">
        <w:trPr>
          <w:jc w:val="center"/>
        </w:trPr>
        <w:tc>
          <w:tcPr>
            <w:tcW w:w="5580" w:type="dxa"/>
          </w:tcPr>
          <w:p w14:paraId="0562A68C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 xml:space="preserve">     Difference</w:t>
            </w:r>
          </w:p>
        </w:tc>
        <w:tc>
          <w:tcPr>
            <w:tcW w:w="1438" w:type="dxa"/>
          </w:tcPr>
          <w:p w14:paraId="349BF97D" w14:textId="77777777" w:rsidR="00CD1743" w:rsidRPr="00D35F8A" w:rsidRDefault="00CD1743" w:rsidP="00A45A42">
            <w:pPr>
              <w:pStyle w:val="ProcedureText"/>
              <w:tabs>
                <w:tab w:val="left" w:pos="-720"/>
              </w:tabs>
              <w:suppressAutoHyphens/>
              <w:spacing w:line="240" w:lineRule="auto"/>
              <w:jc w:val="right"/>
              <w:rPr>
                <w:rFonts w:ascii="Times New Roman" w:hAnsi="Times New Roman"/>
                <w:spacing w:val="-3"/>
                <w:sz w:val="24"/>
              </w:rPr>
            </w:pPr>
            <w:r w:rsidRPr="00D35F8A">
              <w:rPr>
                <w:rFonts w:ascii="Times New Roman" w:hAnsi="Times New Roman"/>
                <w:spacing w:val="-3"/>
                <w:sz w:val="24"/>
              </w:rPr>
              <w:t>$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4"/>
              </w:rPr>
              <w:t>x,xxx</w:t>
            </w:r>
            <w:proofErr w:type="gramEnd"/>
            <w:r>
              <w:rPr>
                <w:rFonts w:ascii="Times New Roman" w:hAnsi="Times New Roman"/>
                <w:spacing w:val="-3"/>
                <w:sz w:val="24"/>
              </w:rPr>
              <w:t>.xx</w:t>
            </w:r>
            <w:proofErr w:type="spellEnd"/>
          </w:p>
        </w:tc>
      </w:tr>
    </w:tbl>
    <w:p w14:paraId="6BADEC25" w14:textId="77777777" w:rsidR="00CD1743" w:rsidRDefault="00CD1743" w:rsidP="00CD1743">
      <w:bookmarkStart w:id="1" w:name="_Wdesk_Guide_for"/>
      <w:bookmarkEnd w:id="1"/>
    </w:p>
    <w:sectPr w:rsidR="00CD1743" w:rsidSect="00CD1743">
      <w:footerReference w:type="first" r:id="rId4"/>
      <w:pgSz w:w="12240" w:h="15840" w:code="1"/>
      <w:pgMar w:top="1440" w:right="1440" w:bottom="1440" w:left="1440" w:header="720" w:footer="720" w:gutter="0"/>
      <w:paperSrc w:first="260" w:other="26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54B997" w14:paraId="67AE06C6" w14:textId="77777777" w:rsidTr="0454B997">
      <w:tc>
        <w:tcPr>
          <w:tcW w:w="3120" w:type="dxa"/>
        </w:tcPr>
        <w:p w14:paraId="3FEA7193" w14:textId="77777777" w:rsidR="00CD1743" w:rsidRDefault="00CD1743" w:rsidP="0454B997">
          <w:pPr>
            <w:pStyle w:val="Header"/>
            <w:ind w:left="-115"/>
          </w:pPr>
        </w:p>
      </w:tc>
      <w:tc>
        <w:tcPr>
          <w:tcW w:w="3120" w:type="dxa"/>
        </w:tcPr>
        <w:p w14:paraId="2013F2E4" w14:textId="77777777" w:rsidR="00CD1743" w:rsidRDefault="00CD1743" w:rsidP="0454B997">
          <w:pPr>
            <w:pStyle w:val="Header"/>
            <w:jc w:val="center"/>
          </w:pPr>
        </w:p>
      </w:tc>
      <w:tc>
        <w:tcPr>
          <w:tcW w:w="3120" w:type="dxa"/>
        </w:tcPr>
        <w:p w14:paraId="3859CA2E" w14:textId="77777777" w:rsidR="00CD1743" w:rsidRDefault="00CD1743" w:rsidP="0454B997">
          <w:pPr>
            <w:pStyle w:val="Header"/>
            <w:ind w:right="-115"/>
            <w:jc w:val="right"/>
          </w:pPr>
        </w:p>
      </w:tc>
    </w:tr>
  </w:tbl>
  <w:p w14:paraId="1A46BF63" w14:textId="77777777" w:rsidR="00CD1743" w:rsidRDefault="00CD1743" w:rsidP="0454B9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43"/>
    <w:rsid w:val="009665E0"/>
    <w:rsid w:val="00C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9400"/>
  <w15:chartTrackingRefBased/>
  <w15:docId w15:val="{801812A7-24B2-4F60-9DA2-DA78B1C5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D17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7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74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74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74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74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74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74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74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7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1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74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1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7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1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74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1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7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D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174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CD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174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ProcedureText">
    <w:name w:val="Procedure Text"/>
    <w:basedOn w:val="Title"/>
    <w:rsid w:val="00CD1743"/>
    <w:pPr>
      <w:spacing w:after="0" w:line="360" w:lineRule="auto"/>
      <w:contextualSpacing w:val="0"/>
    </w:pPr>
    <w:rPr>
      <w:rFonts w:ascii="Verdana" w:eastAsia="Times New Roman" w:hAnsi="Verdana" w:cs="Times New Roman"/>
      <w:spacing w:val="0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Office of State Comptroller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Brian (CTR)</dc:creator>
  <cp:keywords/>
  <dc:description/>
  <cp:lastModifiedBy>Johnson, Brian (CTR)</cp:lastModifiedBy>
  <cp:revision>1</cp:revision>
  <dcterms:created xsi:type="dcterms:W3CDTF">2024-07-18T12:53:00Z</dcterms:created>
  <dcterms:modified xsi:type="dcterms:W3CDTF">2024-07-18T12:54:00Z</dcterms:modified>
</cp:coreProperties>
</file>